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4873"/>
        <w:gridCol w:w="4908"/>
      </w:tblGrid>
      <w:tr>
        <w:trPr>
          <w:trHeight w:val="340" w:hRule="atLeast"/>
        </w:trPr>
        <w:tc>
          <w:tcPr>
            <w:tcW w:w="4873"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Job title: Lead Angular Engineer (Architecture Specialist)</w:t>
            </w:r>
          </w:p>
        </w:tc>
        <w:tc>
          <w:tcPr>
            <w:tcW w:w="4908"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sz w:val="20"/>
                <w:szCs w:val="20"/>
                <w:lang w:val="en-GB" w:eastAsia="en-GB" w:bidi="en-GB"/>
              </w:rPr>
            </w:pPr>
            <w:r>
              <w:rPr>
                <w:rFonts w:ascii="Arial" w:hAnsi="Arial" w:eastAsia="Arial" w:cs="Arial"/>
                <w:sz w:val="20"/>
                <w:szCs w:val="20"/>
                <w:lang w:val="en-GB" w:eastAsia="en-GB" w:bidi="en-GB"/>
              </w:rPr>
              <w:t xml:space="preserve">Location: </w:t>
            </w:r>
            <w:r>
              <w:rPr>
                <w:rFonts w:ascii="Arial" w:hAnsi="Arial" w:eastAsia="Arial" w:cs="Arial"/>
                <w:i/>
                <w:iCs/>
                <w:sz w:val="20"/>
                <w:szCs w:val="20"/>
                <w:lang w:val="en-GB" w:eastAsia="en-GB" w:bidi="en-GB"/>
              </w:rPr>
              <w:t xml:space="preserve">Uk, Vienna &amp; Sofia</w:t>
            </w:r>
          </w:p>
        </w:tc>
      </w:tr>
      <w:tr>
        <w:trPr>
          <w:trHeight w:val="340" w:hRule="atLeast"/>
        </w:trPr>
        <w:tc>
          <w:tcPr>
            <w:tcW w:w="4873"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sz w:val="20"/>
                <w:szCs w:val="20"/>
                <w:lang w:val="en-GB" w:eastAsia="en-GB" w:bidi="en-GB"/>
              </w:rPr>
            </w:pPr>
            <w:r>
              <w:rPr>
                <w:rFonts w:ascii="Arial" w:hAnsi="Arial" w:eastAsia="Arial" w:cs="Arial"/>
                <w:sz w:val="20"/>
                <w:szCs w:val="20"/>
                <w:lang w:val="en-GB" w:eastAsia="en-GB" w:bidi="en-GB"/>
              </w:rPr>
              <w:t xml:space="preserve">Function: Product and Tech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sz w:val="20"/>
                <w:szCs w:val="20"/>
                <w:lang w:val="en-GB" w:eastAsia="en-GB" w:bidi="en-GB"/>
              </w:rPr>
            </w:pPr>
            <w:r>
              <w:rPr>
                <w:rFonts w:ascii="Arial" w:hAnsi="Arial" w:eastAsia="Arial" w:cs="Arial"/>
                <w:sz w:val="20"/>
                <w:szCs w:val="20"/>
                <w:lang w:val="en-GB" w:eastAsia="en-GB" w:bidi="en-GB"/>
              </w:rPr>
              <w:t xml:space="preserve">Reports to: </w:t>
            </w:r>
            <w:r>
              <w:rPr>
                <w:rFonts w:ascii="Arial" w:hAnsi="Arial" w:eastAsia="Arial" w:cs="Arial"/>
                <w:i/>
                <w:iCs/>
                <w:sz w:val="20"/>
                <w:szCs w:val="20"/>
                <w:lang w:val="en-GB" w:eastAsia="en-GB" w:bidi="en-GB"/>
              </w:rPr>
              <w:t xml:space="preserve">VP Engineering </w:t>
            </w:r>
          </w:p>
        </w:tc>
        <w:tc>
          <w:tcPr>
            <w:tcW w:w="4908"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r>
              <w:rPr>
                <w:rFonts w:ascii="Arial" w:hAnsi="Arial" w:eastAsia="Arial" w:cs="Arial"/>
                <w:sz w:val="20"/>
                <w:szCs w:val="20"/>
                <w:lang w:val="en-GB" w:eastAsia="en-GB" w:bidi="en-GB"/>
              </w:rPr>
              <w:t xml:space="preserve">No. of direct reports: </w:t>
            </w:r>
            <w:r>
              <w:rPr>
                <w:rFonts w:ascii="Arial" w:hAnsi="Arial" w:eastAsia="Arial" w:cs="Arial"/>
                <w:i/>
                <w:iCs/>
                <w:sz w:val="20"/>
                <w:szCs w:val="20"/>
                <w:lang w:val="en-GB" w:eastAsia="en-GB" w:bidi="en-GB"/>
              </w:rPr>
              <w:t xml:space="preserve">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trike/>
                <w:sz w:val="20"/>
                <w:szCs w:val="20"/>
                <w:lang w:val="en-GB" w:eastAsia="en-GB" w:bidi="en-GB"/>
              </w:rPr>
            </w:pPr>
            <w:r>
              <w:rPr>
                <w:rFonts w:ascii="Arial" w:hAnsi="Arial" w:eastAsia="Arial" w:cs="Arial"/>
                <w:sz w:val="20"/>
                <w:szCs w:val="20"/>
                <w:lang w:val="en-GB" w:eastAsia="en-GB" w:bidi="en-GB"/>
              </w:rPr>
              <w:t xml:space="preserve">No. of non-direct reports: </w:t>
            </w:r>
            <w:r>
              <w:rPr>
                <w:rFonts w:ascii="Arial" w:hAnsi="Arial" w:eastAsia="Arial" w:cs="Arial"/>
                <w:i/>
                <w:iCs/>
                <w:sz w:val="20"/>
                <w:szCs w:val="20"/>
                <w:lang w:val="en-GB" w:eastAsia="en-GB" w:bidi="en-GB"/>
              </w:rPr>
              <w:t xml:space="preserve">None </w:t>
            </w:r>
          </w:p>
        </w:tc>
      </w:tr>
      <w:tr>
        <w:trPr>
          <w:trHeight w:val="340" w:hRule="atLeast"/>
        </w:trPr>
        <w:tc>
          <w:tcPr>
            <w:tcW w:w="4873" w:type="dxa"/>
            <w:tcBorders>
              <w:bottom w:val="single" w:sz="4" w:space="0" w:color="000000"/>
            </w:tcBorders>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Budgetary responsibility: N/A</w:t>
            </w:r>
          </w:p>
        </w:tc>
        <w:tc>
          <w:tcPr>
            <w:tcW w:w="4908" w:type="dxa"/>
            <w:tcBorders>
              <w:bottom w:val="single" w:sz="4" w:space="0" w:color="000000"/>
            </w:tcBorders>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NGR/P&amp;L: 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p>
        </w:tc>
      </w:tr>
    </w:tbl>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08" w:type="dxa"/>
          <w:bottom w:w="0" w:type="dxa"/>
          <w:right w:w="108" w:type="dxa"/>
        </w:tblCellMar>
      </w:tblPr>
      <w:tblGrid>
        <w:gridCol w:w="9781"/>
      </w:tblGrid>
      <w:tr>
        <w:trPr>
          <w:trHeight w:val="300" w:hRule="atLeast"/>
        </w:trPr>
        <w:tc>
          <w:tcPr>
            <w:tcW w:w="9781" w:type="dxa"/>
            <w:tcBorders>
              <w:top w:val="single" w:sz="4" w:space="0" w:color="000000"/>
            </w:tcBorders>
            <w:shd w:val="clear" w:color="auto" w:fill="C000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FFFF"/>
                <w:sz w:val="20"/>
                <w:szCs w:val="20"/>
                <w:lang w:val="en-GB" w:eastAsia="en-GB" w:bidi="en-GB"/>
              </w:rPr>
            </w:pPr>
            <w:r>
              <w:rPr>
                <w:rFonts w:ascii="Arial" w:hAnsi="Arial" w:eastAsia="Arial" w:cs="Arial"/>
                <w:color w:val="FFFFFF"/>
                <w:sz w:val="20"/>
                <w:szCs w:val="20"/>
                <w:lang w:val="en-GB" w:eastAsia="en-GB" w:bidi="en-GB"/>
              </w:rPr>
              <w:t xml:space="preserve">Purpose of role</w:t>
            </w:r>
          </w:p>
        </w:tc>
      </w:tr>
      <w:tr>
        <w:tc>
          <w:tcPr>
            <w:tcW w:w="97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We’re Entain. Our vision is to be the world leader in sports betting and gaming entertainment by creating the most exciting and trusted experience for our customers, revolutionising the gambling space as we go. We're home to a global family of more than 25 well-known brands, and with a focus on sustainability and growth, we will transform our sector for our players, for ourselves and for the good of entertainment.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The Lead Angular Engineer (Architecture Specialist) serves as a technical leader, driving the design, development, and implementation of complex, scalable Angular applications within a monorepo architecture. They champion best practices, architect robust and maintainable solutions, and guide a team of developers to ensure successful project delivery. Their deep expertise in Angular, Nx, and modern web development tools empowers them to make crucial architectural decisions and foster a culture of continuous learning and innovation.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color w:val="A6A6A6"/>
                <w:sz w:val="20"/>
                <w:szCs w:val="20"/>
                <w:lang w:val="en-GB" w:eastAsia="en-GB" w:bidi="en-GB"/>
              </w:rPr>
            </w:pPr>
          </w:p>
        </w:tc>
      </w:tr>
      <w:tr>
        <w:trPr>
          <w:trHeight w:val="229" w:hRule="atLeast"/>
        </w:trPr>
        <w:tc>
          <w:tcPr>
            <w:tcW w:w="9781" w:type="dxa"/>
            <w:shd w:val="clear" w:color="auto" w:fill="C000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color w:val="FFFFFF"/>
                <w:sz w:val="20"/>
                <w:szCs w:val="20"/>
                <w:lang w:val="en-GB" w:eastAsia="en-GB" w:bidi="en-GB"/>
              </w:rPr>
              <w:t xml:space="preserve">Key responsibilities</w:t>
            </w:r>
          </w:p>
        </w:tc>
      </w:tr>
      <w:tr>
        <w:trPr>
          <w:trHeight w:val="300" w:hRule="atLeast"/>
        </w:trPr>
        <w:tc>
          <w:tcPr>
            <w:tcW w:w="9781" w:type="dxa"/>
            <w:shd w:val="clear" w:color="auto" w:fill="auto"/>
            <w:vAlign w:val="top"/>
          </w:tcPr>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US" w:eastAsia="en-US" w:bidi="en-US"/>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Enhances architecture and code structure to promote testability and maintainability.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Analyzes the broader technical picture, bottlenecks, dependencies, influence and/synergies with other components or parts of the system.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Build high-quality, clean, scalable and reusable code by enforcing best practices around software engineering architecture and processes.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Lead the architectural design of Angular projects, ensuring scalability and maintainability: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Define the overall application structure, considering component hierarchy, feature modules, and data flow.</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Choose appropriate design patterns to promote loose coupling and reusability.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Plan for future growth and ensure the architecture can accommodate new features and functionalities.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Conduct code reviews to identify potential architectural issues and suggest improvements.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Experience with monorepo architecture.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Integrate Storybook for effective UI component development and testing: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Guide developers to create reusable and well-documented UI components within Storybook.</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Utilize Storybook for component testing and automated visual regression testing.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Help maintain Storybook as a single source of truth for component documentation and usage examples.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Utilize Ionic to build cross-platform mobile applications alongside the Angular web application.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Assumes accountability for ensuring that their team maintains robust documentation and records detailing the evolution of design and architecture over time (e.g., RFCs, ADRs).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Ensure code quality by incorporating tools like ESLint into the CI pipeline.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Assist enterprise architecture team with all governance activities.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Actively participates in hiring top engineering talent.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br w:type="textWrapping"/>
            </w:r>
          </w:p>
        </w:tc>
      </w:tr>
      <w:tr>
        <w:trPr>
          <w:trHeight w:val="262" w:hRule="atLeast"/>
        </w:trPr>
        <w:tc>
          <w:tcPr>
            <w:tcW w:w="9781" w:type="dxa"/>
            <w:shd w:val="clear" w:color="auto" w:fill="C000FF"/>
            <w:vAlign w:val="top"/>
          </w:tcPr>
          <w:p>
            <w:pPr>
              <w:pStyle w:val="Normal"/>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eastAsia="Arial" w:cs="Arial"/>
                <w:color w:val="FFFFFF"/>
                <w:sz w:val="20"/>
                <w:szCs w:val="20"/>
                <w:lang w:val="en-GB" w:eastAsia="en-GB" w:bidi="en-GB"/>
              </w:rPr>
            </w:pPr>
            <w:r>
              <w:rPr>
                <w:rFonts w:ascii="Arial" w:hAnsi="Arial" w:eastAsia="Arial" w:cs="Arial"/>
                <w:color w:val="FFFFFF"/>
                <w:sz w:val="20"/>
                <w:szCs w:val="20"/>
                <w:lang w:val="en-GB" w:eastAsia="en-GB" w:bidi="en-GB"/>
              </w:rPr>
              <w:t xml:space="preserve">Specialist skills and experience</w:t>
            </w:r>
          </w:p>
        </w:tc>
      </w:tr>
      <w:tr>
        <w:trPr>
          <w:trHeight w:val="3670" w:hRule="atLeast"/>
        </w:trPr>
        <w:tc>
          <w:tcPr>
            <w:tcW w:w="97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color w:val="A5A5A5"/>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sz w:val="20"/>
                <w:szCs w:val="20"/>
                <w:lang w:val="en-GB" w:eastAsia="en-GB" w:bidi="en-GB"/>
              </w:rPr>
            </w:pPr>
            <w:r>
              <w:rPr>
                <w:rFonts w:ascii="Arial" w:hAnsi="Arial" w:eastAsia="Arial" w:cs="Arial"/>
                <w:i/>
                <w:iCs/>
                <w:sz w:val="20"/>
                <w:szCs w:val="20"/>
                <w:lang w:val="en-GB" w:eastAsia="en-GB" w:bidi="en-GB"/>
              </w:rPr>
              <w:t xml:space="preserve">Essential: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Extensive experience building and maintaining large-scale, scalable performant Angular applications.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Proven track record in designing and implementing clean, modular, and maintainable Angular architectures.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Solid in TypeScript, solid JavaScript understanding, and proficiency in navigating the event loop.</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Expert in Angular and its design principles; familiar with React, Vue.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hanging="360"/>
              <w:jc w:val="both"/>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Solid understanding of server-side rendering (SSR) techniques: Knowledge of SSR concepts and ability to implement SSR (e.g., using Universal) for improved performance and SEO.</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GB" w:eastAsia="en-GB" w:bidi="en-GB"/>
              </w:rPr>
            </w:pPr>
            <w:r>
              <w:rPr>
                <w:rFonts w:ascii="Arial" w:hAnsi="Arial" w:eastAsia="Arial" w:cs="Arial"/>
                <w:sz w:val="20"/>
                <w:szCs w:val="20"/>
                <w:lang w:val="en-US" w:eastAsia="en-US" w:bidi="en-US"/>
              </w:rPr>
              <w:t xml:space="preserve">Knowledge of dynamic module loading techniques: Understanding of Module Federation or Native Federation and their implementation for efficient loading of remote modules within the Angular application.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GB" w:eastAsia="en-GB" w:bidi="en-GB"/>
              </w:rPr>
            </w:pPr>
            <w:r>
              <w:rPr>
                <w:rFonts w:ascii="Arial" w:hAnsi="Arial" w:eastAsia="Arial" w:cs="Arial"/>
                <w:sz w:val="20"/>
                <w:szCs w:val="20"/>
                <w:lang w:val="en-US" w:eastAsia="en-US" w:bidi="en-US"/>
              </w:rPr>
              <w:t xml:space="preserve">Strong understanding of modern bundling tools: Ability to configure and leverage esbuild for optimized bundling of Angular applications, considering factors like build times, bundle size, and production vs. development needs.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Expert-level proficiency in Nx: Experience setting up, configuring, and utilizing Nx for efficient monorepo management, including dependency management, build automation, and code sharing.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Exposure to Technology Strategy, aligning business goals with IT services and infrastructure; driving new initiatives mapping to OKRs.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Desired: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of working within the Betting and Gaming Industry.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i/>
                <w:iCs/>
                <w:color w:val="A6A6A6"/>
                <w:sz w:val="20"/>
                <w:szCs w:val="20"/>
                <w:lang w:val="en-GB" w:eastAsia="en-GB" w:bidi="en-GB"/>
              </w:rPr>
            </w:pPr>
          </w:p>
        </w:tc>
      </w:tr>
      <w:tr>
        <w:trPr>
          <w:trHeight w:val="271" w:hRule="atLeast"/>
        </w:trPr>
        <w:tc>
          <w:tcPr>
            <w:tcW w:w="9781" w:type="dxa"/>
            <w:shd w:val="clear" w:color="auto" w:fill="C000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6A6A6"/>
                <w:sz w:val="20"/>
                <w:szCs w:val="20"/>
                <w:lang w:val="en-GB" w:eastAsia="en-GB" w:bidi="en-GB"/>
              </w:rPr>
            </w:pPr>
            <w:r>
              <w:rPr>
                <w:rFonts w:ascii="Arial" w:hAnsi="Arial" w:eastAsia="Arial" w:cs="Arial"/>
                <w:color w:val="FFFFFF"/>
                <w:sz w:val="20"/>
                <w:szCs w:val="20"/>
                <w:lang w:val="en-GB" w:eastAsia="en-GB" w:bidi="en-GB"/>
              </w:rPr>
              <w:t xml:space="preserve">Competencies / behaviours</w:t>
            </w:r>
          </w:p>
        </w:tc>
      </w:tr>
      <w:bookmarkStart w:id="1" w:name="_gjdgxs"/>
      <w:bookmarkEnd w:id="1"/>
      <w:tr>
        <w:trPr>
          <w:trHeight w:val="2415" w:hRule="atLeast"/>
        </w:trPr>
        <w:tc>
          <w:tcPr>
            <w:tcW w:w="97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5A5A5"/>
                <w:sz w:val="20"/>
                <w:szCs w:val="20"/>
                <w:lang w:val="en-GB" w:eastAsia="en-GB" w:bidi="en-GB"/>
              </w:rPr>
            </w:pP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Stakeholder engagement: Builds effective working relationships</w:t>
            </w: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Collaboration: Communicates effectively with a positive impact</w:t>
            </w: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Builds capability: Invests in developing oneself (and others)</w:t>
            </w: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Analytical thinking: Thinks critically, providing well-reasoned insights through a commercial lens</w:t>
            </w: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Sets direction: Contributes to a clear direction for the business</w:t>
            </w: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Agility: Quickly adapts and remains flexible while managing risks</w:t>
            </w: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Drives performance: Continually raises the bar for oneself (and others)</w:t>
            </w: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Acts with integrity: Takes ownership and does the right thing</w:t>
            </w:r>
          </w:p>
          <w:p>
            <w:pPr>
              <w:pStyle w:val="ListParagraph"/>
              <w:numPr>
                <w:ilvl w:val="0"/>
                <w:numId w:val="2"/>
              </w:num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Delivers results: Plans for success and gets the job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GB" w:eastAsia="en-GB" w:bidi="en-GB"/>
              </w:rPr>
            </w:pPr>
          </w:p>
        </w:tc>
      </w:tr>
      <w:tr>
        <w:trPr>
          <w:trHeight w:val="1259" w:hRule="atLeast"/>
        </w:trPr>
        <w:tc>
          <w:tcPr>
            <w:tcW w:w="97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Diversity and equal opportunities: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color w:val="A5A5A5"/>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As a global employer, Entain is committed to providing a safe, fun, and inclusive culture where our people feel like they truly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We are a multicultural business that values, celebrates and respects individual differences, so whatever your sexuality, gender, gender identity, ability, age, race, religion or belief, you will have a voice here, and the space to do your best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Our diverse internal networks provide the support for you to express your views and make a positive difference, all for the good of entertainment.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5A5A5"/>
                <w:sz w:val="20"/>
                <w:szCs w:val="20"/>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5A5A5"/>
          <w:sz w:val="20"/>
          <w:szCs w:val="20"/>
          <w:lang w:val="en-GB" w:eastAsia="en-GB" w:bidi="en-GB"/>
        </w:rPr>
      </w:pPr>
    </w:p>
    <w:sectPr>
      <w:headerReference w:type="default" r:id="rId00009"/>
      <w:footerReference w:type="default" r:id="rId00010"/>
      <w:headerReference w:type="first" r:id="rId00011"/>
      <w:footerReference w:type="first" r:id="rId00012"/>
      <w:pgSz w:w="11900" w:h="16840"/>
      <w:pgMar w:top="1440" w:right="1440" w:bottom="1440" w:left="1440" w:header="708" w:footer="454"/>
      <w:pgNumType w:start="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Calibri Light">
    <w:panose1 w:val="020F0302020204030204"/>
    <w:charset w:val="00"/>
    <w:family w:val="swiss"/>
    <w:pitch w:val="variable"/>
    <w:sig w:usb0="E0002A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right" w:pos="9020"/>
        <w:tab w:val="clear" w:pos="9360"/>
      </w:tabs>
      <w:jc w:val="center"/>
      <w:rPr>
        <w:lang w:val="en-GB" w:eastAsia="en-GB" w:bidi="en-GB"/>
      </w:rPr>
    </w:pPr>
    <w:r>
      <w:drawing>
        <wp:anchor distT="0" distB="0" distL="114300" distR="114300" simplePos="0" relativeHeight="251659264" behindDoc="0" locked="0" layoutInCell="1" allowOverlap="1" hidden="false">
          <wp:simplePos x="0" y="0"/>
          <wp:positionH relativeFrom="column">
            <wp:posOffset>-369570</wp:posOffset>
          </wp:positionH>
          <wp:positionV relativeFrom="paragraph">
            <wp:posOffset>18415</wp:posOffset>
          </wp:positionV>
          <wp:extent cx="420370" cy="47180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420370" cy="471805"/>
                  </a:xfrm>
                  <a:prstGeom prst="rect">
                    <a:avLst/>
                  </a:prstGeom>
                </pic:spPr>
              </pic:pic>
            </a:graphicData>
          </a:graphic>
        </wp:anchor>
      </w:drawing>
    </w:r>
  </w:p>
  <w:p>
    <w:pPr>
      <w:pStyle w:val="Footer"/>
      <w:tabs>
        <w:tab w:val="right" w:pos="9020"/>
        <w:tab w:val="clear" w:pos="9360"/>
      </w:tabs>
      <w:jc w:val="right"/>
      <w:rPr>
        <w:rFonts w:ascii="Arial" w:hAnsi="Arial" w:eastAsia="Arial" w:cs="Arial"/>
        <w:sz w:val="32"/>
        <w:szCs w:val="32"/>
        <w:lang w:val="en-GB" w:eastAsia="en-GB" w:bidi="en-GB"/>
      </w:rPr>
    </w:pPr>
    <w:r>
      <w:rPr>
        <w:rFonts w:ascii="Arial" w:hAnsi="Arial" w:eastAsia="Arial" w:cs="Arial"/>
        <w:sz w:val="32"/>
        <w:szCs w:val="32"/>
        <w:lang w:val="en-GB" w:eastAsia="en-GB" w:bidi="en-GB"/>
      </w:rPr>
      <w:t xml:space="preserve">           </w:t>
    </w: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43268B"/>
        <w:sz w:val="32"/>
        <w:szCs w:val="32"/>
        <w:lang w:val="en-GB" w:eastAsia="en-GB" w:bidi="en-GB"/>
      </w:rPr>
    </w:pPr>
    <w:r>
      <w:rPr>
        <w:rFonts w:ascii="Arial" w:hAnsi="Arial" w:eastAsia="Arial" w:cs="Arial"/>
        <w:i/>
        <w:iCs/>
        <w:color w:val="43268B"/>
        <w:sz w:val="32"/>
        <w:szCs w:val="32"/>
        <w:lang w:val="en-GB" w:eastAsia="en-GB" w:bidi="en-GB"/>
      </w:rPr>
      <w:drawing>
        <wp:inline distT="0" distB="0" distL="0" distR="0">
          <wp:extent cx="420370" cy="471805"/>
          <wp:docPr id="3" name="Picture 6"/>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420370" cy="471805"/>
                  </a:xfrm>
                  <a:prstGeom prst="rect">
                    <a:avLst/>
                  </a:prstGeom>
                </pic:spPr>
              </pic:pic>
            </a:graphicData>
          </a:graphic>
        </wp:inline>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360"/>
      </w:tabs>
      <w:rPr>
        <w:lang w:val="en-GB" w:eastAsia="en-GB" w:bidi="en-GB"/>
      </w:rPr>
    </w:pPr>
  </w:p>
  <w:p>
    <w:pPr>
      <w:pStyle w:val="Header"/>
      <w:tabs>
        <w:tab w:val="right" w:pos="9020"/>
        <w:tab w:val="clear" w:pos="9360"/>
      </w:tabs>
      <w:rPr>
        <w:lang w:val="en-GB" w:eastAsia="en-GB" w:bidi="en-GB"/>
      </w:rPr>
    </w:pPr>
  </w:p>
  <w:p>
    <w:pPr>
      <w:pStyle w:val="Header"/>
      <w:tabs>
        <w:tab w:val="right" w:pos="9020"/>
        <w:tab w:val="clear" w:pos="936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360"/>
      </w:tabs>
      <w:rPr>
        <w:lang w:val="en-GB" w:eastAsia="en-GB" w:bidi="en-GB"/>
      </w:rPr>
    </w:pPr>
    <w:r>
      <w:rPr>
        <w:lang w:val="en-GB" w:eastAsia="en-GB" w:bidi="en-GB"/>
      </w:rPr>
      <w:drawing>
        <wp:inline distT="0" distB="0" distL="0" distR="0">
          <wp:extent cx="1275715" cy="361315"/>
          <wp:docPr id="2" name="Picture 4"/>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1275715" cy="361315"/>
                  </a:xfrm>
                  <a:prstGeom prst="rect">
                    <a:avLst/>
                  </a:prstGeom>
                </pic:spPr>
              </pic:pic>
            </a:graphicData>
          </a:graphic>
        </wp:inline>
      </w:drawing>
    </w:r>
  </w:p>
  <w:p>
    <w:pPr>
      <w:pStyle w:val="Header"/>
      <w:tabs>
        <w:tab w:val="right" w:pos="9020"/>
        <w:tab w:val="clear" w:pos="9360"/>
      </w:tabs>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784" w:hanging="360"/>
        <w:tabs>
          <w:tab w:val="num" w:pos="784"/>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680"/>
        <w:tab w:val="right" w:pos="9360"/>
      </w:tabs>
    </w:pPr>
    <w:rPr>
      <w:lang w:val="en-GB" w:eastAsia="en-GB" w:bidi="en-GB"/>
    </w:rPr>
  </w:style>
  <w:style w:type="paragraph" w:styleId="Footer">
    <w:name w:val="footer"/>
    <w:basedOn w:val="Normal"/>
    <w:next w:val="Footer"/>
    <w:qFormat/>
    <w:pPr>
      <w:tabs>
        <w:tab w:val="center" w:pos="4680"/>
        <w:tab w:val="right" w:pos="9360"/>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240"/>
      <w:outlineLvl w:val="0"/>
    </w:pPr>
    <w:rPr>
      <w:rFonts w:ascii="Calibri Light" w:hAnsi="Calibri Light" w:eastAsia="Calibri Light" w:cs="Calibri Light"/>
      <w:color w:val="43268B"/>
      <w:sz w:val="32"/>
      <w:szCs w:val="32"/>
      <w:lang w:val="en-GB" w:eastAsia="en-GB" w:bidi="en-GB"/>
    </w:rPr>
  </w:style>
  <w:style w:type="character" w:styleId="Header Char">
    <w:name w:val="Header Char"/>
    <w:qFormat/>
    <w:rPr>
      <w:rtl w:val="off"/>
    </w:rPr>
  </w:style>
  <w:style w:type="character" w:styleId="Footer Char">
    <w:name w:val="Footer Char"/>
    <w:qFormat/>
    <w:rPr>
      <w:rtl w:val="off"/>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character" w:styleId="Balloon Text Char">
    <w:name w:val="Balloon Text Char"/>
    <w:qFormat/>
    <w:rPr>
      <w:rFonts w:ascii="Segoe UI" w:hAnsi="Segoe UI" w:eastAsia="Segoe UI" w:cs="Segoe UI"/>
      <w:sz w:val="18"/>
      <w:szCs w:val="18"/>
      <w:rtl w:val="off"/>
    </w:rPr>
  </w:style>
  <w:style w:type="character" w:styleId="Heading 1 Char">
    <w:name w:val="Heading 1 Char"/>
    <w:qFormat/>
    <w:rPr>
      <w:rFonts w:ascii="Calibri Light" w:hAnsi="Calibri Light" w:eastAsia="Calibri Light" w:cs="Calibri Light"/>
      <w:color w:val="43268B"/>
      <w:sz w:val="32"/>
      <w:szCs w:val="32"/>
      <w:rtl w:val="off"/>
    </w:rPr>
  </w:style>
  <w:style w:type="character" w:styleId="No Spacing Char">
    <w:name w:val="No Spacing Char"/>
    <w:qFormat/>
    <w:rPr>
      <w:sz w:val="22"/>
      <w:szCs w:val="22"/>
      <w:rtl w:val="off"/>
      <w:lang w:val="en-US" w:eastAsia="en-US" w:bidi="en-US"/>
    </w:rPr>
  </w:style>
  <w:style w:type="paragraph" w:styleId="paragraph">
    <w:name w:val="paragraph"/>
    <w:basedOn w:val="Normal"/>
    <w:next w:val="paragraph"/>
    <w:qFormat/>
    <w:pPr/>
    <w:rPr>
      <w:rFonts w:ascii="Times New Roman" w:hAnsi="Times New Roman" w:eastAsia="Times New Roman" w:cs="Times New Roman"/>
      <w:lang w:val="en-GB" w:eastAsia="en-GB" w:bidi="en-GB"/>
    </w:rPr>
  </w:style>
  <w:style w:type="character" w:styleId="normaltextrun">
    <w:name w:val="normaltextrun"/>
    <w:qFormat/>
    <w:rPr>
      <w:rtl w:val="off"/>
    </w:rPr>
  </w:style>
  <w:style w:type="character" w:styleId="eop">
    <w:name w:val="eop"/>
    <w:qFormat/>
    <w:rPr>
      <w:rtl w:val="off"/>
    </w:rPr>
  </w:style>
  <w:style w:type="character" w:styleId="spellingerror">
    <w:name w:val="spellingerror"/>
    <w:qFormat/>
    <w:rPr>
      <w:rtl w:val="off"/>
    </w:rPr>
  </w:style>
  <w:style w:type="paragraph" w:styleId="NormalWeb">
    <w:name w:val="Normal (Web)"/>
    <w:basedOn w:val="Normal"/>
    <w:next w:val="NormalWeb"/>
    <w:qFormat/>
    <w:pPr/>
    <w:rPr>
      <w:rFonts w:ascii="Times New Roman" w:hAnsi="Times New Roman" w:eastAsia="Times New Roman" w:cs="Times New Roman"/>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lang w:val="en-GB" w:eastAsia="en-GB" w:bidi="en-GB"/>
    </w:rPr>
  </w:style>
  <w:style w:type="character" w:styleId="Comment Subject Char">
    <w:name w:val="Comment Subject Char"/>
    <w:basedOn w:val="Comment Text Char"/>
    <w:qFormat/>
    <w:rPr>
      <w:b/>
      <w:bCs/>
      <w:sz w:val="20"/>
      <w:szCs w:val="20"/>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header" Target="header0001_first.xml"/>
	<Relationship Id="rId00012" Type="http://schemas.openxmlformats.org/officeDocument/2006/relationships/footer" Target="footer0001_first.xml"/>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xml.rels><?xml version="1.0" encoding="UTF-8" standalone="yes"?><Relationships xmlns="http://schemas.openxmlformats.org/package/2006/relationships">
	<Relationship Id="rId00006" Type="http://schemas.openxmlformats.org/officeDocument/2006/relationships/image" Target="media/image0001.png"/>
</Relationships>
</file>

<file path=word/_rels/footer0001_first.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2024-06-11T13:15:00Z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0x01010090A5977F6EB7B8428F268A35924C4956</vt:lpwstr>
  </property>
  <property fmtid="{D5CDD505-2E9C-101B-9397-08002B2CF9AE}" pid="3" name="MediaServiceImageTags">
    <vt:lpwstr/>
  </property>
</Properties>
</file>